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AED6" w14:textId="77777777" w:rsidR="001A504C" w:rsidRDefault="001A504C" w:rsidP="001A504C">
      <w:pPr>
        <w:spacing w:line="276" w:lineRule="auto"/>
        <w:jc w:val="center"/>
        <w:rPr>
          <w:b/>
          <w:sz w:val="36"/>
          <w:szCs w:val="36"/>
        </w:rPr>
      </w:pPr>
    </w:p>
    <w:p w14:paraId="7A7B245A" w14:textId="77777777" w:rsidR="001A504C" w:rsidRDefault="001A504C" w:rsidP="001A504C">
      <w:pPr>
        <w:spacing w:line="276" w:lineRule="auto"/>
        <w:jc w:val="center"/>
        <w:rPr>
          <w:b/>
          <w:sz w:val="36"/>
          <w:szCs w:val="36"/>
        </w:rPr>
      </w:pPr>
    </w:p>
    <w:p w14:paraId="612E7E04" w14:textId="77777777" w:rsidR="001A504C" w:rsidRDefault="00456AF9" w:rsidP="001A504C">
      <w:pPr>
        <w:spacing w:line="276" w:lineRule="auto"/>
        <w:jc w:val="center"/>
        <w:rPr>
          <w:b/>
          <w:sz w:val="36"/>
          <w:szCs w:val="36"/>
        </w:rPr>
      </w:pPr>
      <w:r>
        <w:rPr>
          <w:b/>
          <w:sz w:val="36"/>
          <w:szCs w:val="36"/>
        </w:rPr>
        <w:t>Politik</w:t>
      </w:r>
    </w:p>
    <w:p w14:paraId="4FA539E4" w14:textId="77777777" w:rsidR="001A504C" w:rsidRDefault="001A504C" w:rsidP="001A504C">
      <w:pPr>
        <w:spacing w:line="276" w:lineRule="auto"/>
        <w:jc w:val="center"/>
        <w:rPr>
          <w:sz w:val="32"/>
          <w:szCs w:val="32"/>
        </w:rPr>
      </w:pPr>
    </w:p>
    <w:p w14:paraId="10AAC2E3" w14:textId="77777777" w:rsidR="001A504C" w:rsidRDefault="001A504C" w:rsidP="001A504C">
      <w:pPr>
        <w:spacing w:line="276" w:lineRule="auto"/>
        <w:jc w:val="center"/>
        <w:rPr>
          <w:sz w:val="24"/>
          <w:szCs w:val="24"/>
        </w:rPr>
      </w:pPr>
      <w:r>
        <w:rPr>
          <w:sz w:val="24"/>
          <w:szCs w:val="24"/>
        </w:rPr>
        <w:t xml:space="preserve">for </w:t>
      </w:r>
    </w:p>
    <w:p w14:paraId="020336E4" w14:textId="77777777" w:rsidR="001A504C" w:rsidRDefault="001A504C" w:rsidP="001A504C">
      <w:pPr>
        <w:spacing w:line="276" w:lineRule="auto"/>
        <w:jc w:val="center"/>
        <w:rPr>
          <w:sz w:val="24"/>
          <w:szCs w:val="24"/>
        </w:rPr>
      </w:pPr>
    </w:p>
    <w:p w14:paraId="505D73B0" w14:textId="77777777" w:rsidR="001A504C" w:rsidRDefault="001A504C" w:rsidP="001A504C">
      <w:pPr>
        <w:spacing w:line="276" w:lineRule="auto"/>
        <w:jc w:val="center"/>
        <w:rPr>
          <w:sz w:val="24"/>
          <w:szCs w:val="24"/>
        </w:rPr>
      </w:pPr>
      <w:r>
        <w:rPr>
          <w:sz w:val="24"/>
          <w:szCs w:val="24"/>
        </w:rPr>
        <w:t>Faster Andelskasse</w:t>
      </w:r>
    </w:p>
    <w:p w14:paraId="2C2BFCE2" w14:textId="77777777" w:rsidR="001A504C" w:rsidRDefault="001A504C" w:rsidP="001A504C">
      <w:pPr>
        <w:spacing w:line="276" w:lineRule="auto"/>
        <w:jc w:val="center"/>
        <w:rPr>
          <w:sz w:val="24"/>
          <w:szCs w:val="24"/>
        </w:rPr>
      </w:pPr>
    </w:p>
    <w:p w14:paraId="2E9141B2" w14:textId="77777777" w:rsidR="001A504C" w:rsidRDefault="001A504C" w:rsidP="001A504C">
      <w:pPr>
        <w:spacing w:line="276" w:lineRule="auto"/>
        <w:jc w:val="center"/>
        <w:rPr>
          <w:sz w:val="24"/>
          <w:szCs w:val="24"/>
        </w:rPr>
      </w:pPr>
      <w:r>
        <w:rPr>
          <w:sz w:val="24"/>
          <w:szCs w:val="24"/>
        </w:rPr>
        <w:t>vedr.</w:t>
      </w:r>
    </w:p>
    <w:p w14:paraId="15920A1B" w14:textId="77777777" w:rsidR="001A504C" w:rsidRDefault="001A504C" w:rsidP="001A504C">
      <w:pPr>
        <w:spacing w:line="276" w:lineRule="auto"/>
        <w:jc w:val="center"/>
        <w:rPr>
          <w:sz w:val="24"/>
          <w:szCs w:val="24"/>
        </w:rPr>
      </w:pPr>
    </w:p>
    <w:p w14:paraId="1E9A6961" w14:textId="77777777" w:rsidR="001A504C" w:rsidRDefault="00456AF9" w:rsidP="001A504C">
      <w:pPr>
        <w:spacing w:line="276" w:lineRule="auto"/>
        <w:jc w:val="center"/>
        <w:rPr>
          <w:sz w:val="24"/>
          <w:szCs w:val="24"/>
        </w:rPr>
      </w:pPr>
      <w:r>
        <w:rPr>
          <w:sz w:val="24"/>
          <w:szCs w:val="24"/>
        </w:rPr>
        <w:t>Integration af bæredygtighedsrisici</w:t>
      </w:r>
    </w:p>
    <w:p w14:paraId="24C9713A" w14:textId="77777777" w:rsidR="001A504C" w:rsidRDefault="001A504C" w:rsidP="001A504C">
      <w:pPr>
        <w:spacing w:line="276" w:lineRule="auto"/>
        <w:rPr>
          <w:sz w:val="24"/>
          <w:szCs w:val="24"/>
        </w:rPr>
      </w:pPr>
    </w:p>
    <w:p w14:paraId="5F098061" w14:textId="77777777" w:rsidR="001A504C" w:rsidRDefault="001A504C" w:rsidP="001A504C">
      <w:pPr>
        <w:spacing w:line="276" w:lineRule="auto"/>
        <w:rPr>
          <w:sz w:val="24"/>
          <w:szCs w:val="24"/>
        </w:rPr>
      </w:pPr>
    </w:p>
    <w:p w14:paraId="0A8EFFEE" w14:textId="77777777" w:rsidR="001A504C" w:rsidRDefault="001A504C" w:rsidP="001A504C">
      <w:pPr>
        <w:spacing w:line="276" w:lineRule="auto"/>
        <w:rPr>
          <w:sz w:val="24"/>
          <w:szCs w:val="24"/>
        </w:rPr>
      </w:pPr>
    </w:p>
    <w:p w14:paraId="2AFCF626" w14:textId="77777777" w:rsidR="001A504C" w:rsidRDefault="001A504C" w:rsidP="001A504C">
      <w:pPr>
        <w:spacing w:line="276" w:lineRule="auto"/>
        <w:rPr>
          <w:sz w:val="24"/>
          <w:szCs w:val="24"/>
        </w:rPr>
      </w:pPr>
    </w:p>
    <w:p w14:paraId="457BDB7B" w14:textId="77777777" w:rsidR="001A504C" w:rsidRDefault="001A504C" w:rsidP="001A504C">
      <w:pPr>
        <w:spacing w:line="276" w:lineRule="auto"/>
        <w:rPr>
          <w:sz w:val="24"/>
          <w:szCs w:val="24"/>
        </w:rPr>
      </w:pPr>
    </w:p>
    <w:p w14:paraId="3B9FE90E" w14:textId="77777777" w:rsidR="001A504C" w:rsidRDefault="001A504C" w:rsidP="001A504C">
      <w:pPr>
        <w:spacing w:line="276" w:lineRule="auto"/>
        <w:rPr>
          <w:sz w:val="24"/>
          <w:szCs w:val="24"/>
        </w:rPr>
      </w:pPr>
    </w:p>
    <w:p w14:paraId="00BCA318" w14:textId="77777777" w:rsidR="001A504C" w:rsidRDefault="001A504C" w:rsidP="001A504C">
      <w:pPr>
        <w:spacing w:line="276" w:lineRule="auto"/>
        <w:rPr>
          <w:sz w:val="24"/>
          <w:szCs w:val="24"/>
        </w:rPr>
      </w:pPr>
    </w:p>
    <w:p w14:paraId="5FC97D80" w14:textId="77777777" w:rsidR="001A504C" w:rsidRDefault="001A504C" w:rsidP="001A504C">
      <w:pPr>
        <w:spacing w:line="276" w:lineRule="auto"/>
        <w:rPr>
          <w:sz w:val="24"/>
          <w:szCs w:val="24"/>
        </w:rPr>
      </w:pPr>
    </w:p>
    <w:p w14:paraId="4FE070AA" w14:textId="77777777" w:rsidR="001A504C" w:rsidRDefault="001A504C" w:rsidP="001A504C">
      <w:pPr>
        <w:spacing w:line="276" w:lineRule="auto"/>
        <w:rPr>
          <w:sz w:val="24"/>
          <w:szCs w:val="24"/>
        </w:rPr>
      </w:pPr>
    </w:p>
    <w:tbl>
      <w:tblPr>
        <w:tblStyle w:val="TableGrid"/>
        <w:tblW w:w="0" w:type="auto"/>
        <w:tblInd w:w="0" w:type="dxa"/>
        <w:tblLook w:val="04A0" w:firstRow="1" w:lastRow="0" w:firstColumn="1" w:lastColumn="0" w:noHBand="0" w:noVBand="1"/>
      </w:tblPr>
      <w:tblGrid>
        <w:gridCol w:w="3397"/>
        <w:gridCol w:w="5676"/>
      </w:tblGrid>
      <w:tr w:rsidR="001A504C" w14:paraId="0736E1D3" w14:textId="77777777" w:rsidTr="001A504C">
        <w:trPr>
          <w:trHeight w:val="400"/>
        </w:trPr>
        <w:tc>
          <w:tcPr>
            <w:tcW w:w="3397"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704F14E7" w14:textId="77777777" w:rsidR="001A504C" w:rsidRDefault="001A504C">
            <w:pPr>
              <w:spacing w:line="276" w:lineRule="auto"/>
              <w:rPr>
                <w:sz w:val="24"/>
                <w:szCs w:val="24"/>
              </w:rPr>
            </w:pPr>
            <w:r>
              <w:rPr>
                <w:sz w:val="24"/>
                <w:szCs w:val="24"/>
              </w:rPr>
              <w:t>Version</w:t>
            </w:r>
          </w:p>
        </w:tc>
        <w:tc>
          <w:tcPr>
            <w:tcW w:w="5676" w:type="dxa"/>
            <w:tcBorders>
              <w:top w:val="single" w:sz="4" w:space="0" w:color="auto"/>
              <w:left w:val="single" w:sz="4" w:space="0" w:color="auto"/>
              <w:bottom w:val="single" w:sz="4" w:space="0" w:color="auto"/>
              <w:right w:val="single" w:sz="4" w:space="0" w:color="auto"/>
            </w:tcBorders>
            <w:hideMark/>
          </w:tcPr>
          <w:p w14:paraId="24E1D862" w14:textId="77777777" w:rsidR="001A504C" w:rsidRDefault="00456AF9">
            <w:pPr>
              <w:spacing w:line="276" w:lineRule="auto"/>
              <w:rPr>
                <w:sz w:val="24"/>
                <w:szCs w:val="24"/>
              </w:rPr>
            </w:pPr>
            <w:r>
              <w:rPr>
                <w:sz w:val="24"/>
                <w:szCs w:val="24"/>
              </w:rPr>
              <w:t>1.00</w:t>
            </w:r>
          </w:p>
        </w:tc>
      </w:tr>
      <w:tr w:rsidR="001A504C" w14:paraId="7FB7553C" w14:textId="77777777" w:rsidTr="001A504C">
        <w:trPr>
          <w:trHeight w:val="380"/>
        </w:trPr>
        <w:tc>
          <w:tcPr>
            <w:tcW w:w="3397"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5F82144C" w14:textId="77777777" w:rsidR="001A504C" w:rsidRDefault="00374EEB">
            <w:pPr>
              <w:spacing w:line="276" w:lineRule="auto"/>
              <w:rPr>
                <w:sz w:val="24"/>
                <w:szCs w:val="24"/>
              </w:rPr>
            </w:pPr>
            <w:r>
              <w:rPr>
                <w:sz w:val="24"/>
                <w:szCs w:val="24"/>
              </w:rPr>
              <w:t>Gældende fra</w:t>
            </w:r>
          </w:p>
        </w:tc>
        <w:tc>
          <w:tcPr>
            <w:tcW w:w="5676" w:type="dxa"/>
            <w:tcBorders>
              <w:top w:val="single" w:sz="4" w:space="0" w:color="auto"/>
              <w:left w:val="single" w:sz="4" w:space="0" w:color="auto"/>
              <w:bottom w:val="single" w:sz="4" w:space="0" w:color="auto"/>
              <w:right w:val="single" w:sz="4" w:space="0" w:color="auto"/>
            </w:tcBorders>
            <w:hideMark/>
          </w:tcPr>
          <w:p w14:paraId="1C518DBD" w14:textId="77777777" w:rsidR="001A504C" w:rsidRDefault="00456AF9">
            <w:pPr>
              <w:spacing w:line="276" w:lineRule="auto"/>
              <w:rPr>
                <w:sz w:val="24"/>
                <w:szCs w:val="24"/>
              </w:rPr>
            </w:pPr>
            <w:r>
              <w:rPr>
                <w:sz w:val="24"/>
                <w:szCs w:val="24"/>
              </w:rPr>
              <w:t xml:space="preserve">10. </w:t>
            </w:r>
            <w:r w:rsidR="001B0B69">
              <w:rPr>
                <w:sz w:val="24"/>
                <w:szCs w:val="24"/>
              </w:rPr>
              <w:t>marts</w:t>
            </w:r>
            <w:r>
              <w:rPr>
                <w:sz w:val="24"/>
                <w:szCs w:val="24"/>
              </w:rPr>
              <w:t xml:space="preserve"> 2021</w:t>
            </w:r>
          </w:p>
        </w:tc>
      </w:tr>
      <w:tr w:rsidR="001A504C" w14:paraId="78E11AF8" w14:textId="77777777" w:rsidTr="001A504C">
        <w:trPr>
          <w:trHeight w:val="400"/>
        </w:trPr>
        <w:tc>
          <w:tcPr>
            <w:tcW w:w="3397"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374DED3D" w14:textId="77777777" w:rsidR="001A504C" w:rsidRDefault="001A504C">
            <w:pPr>
              <w:spacing w:line="276" w:lineRule="auto"/>
              <w:rPr>
                <w:sz w:val="24"/>
                <w:szCs w:val="24"/>
              </w:rPr>
            </w:pPr>
            <w:r>
              <w:rPr>
                <w:sz w:val="24"/>
                <w:szCs w:val="24"/>
              </w:rPr>
              <w:t>Godkendt af</w:t>
            </w:r>
          </w:p>
        </w:tc>
        <w:tc>
          <w:tcPr>
            <w:tcW w:w="5676" w:type="dxa"/>
            <w:tcBorders>
              <w:top w:val="single" w:sz="4" w:space="0" w:color="auto"/>
              <w:left w:val="single" w:sz="4" w:space="0" w:color="auto"/>
              <w:bottom w:val="single" w:sz="4" w:space="0" w:color="auto"/>
              <w:right w:val="single" w:sz="4" w:space="0" w:color="auto"/>
            </w:tcBorders>
            <w:hideMark/>
          </w:tcPr>
          <w:p w14:paraId="4392FC2D" w14:textId="77777777" w:rsidR="001A504C" w:rsidRDefault="00456AF9">
            <w:pPr>
              <w:spacing w:line="276" w:lineRule="auto"/>
              <w:rPr>
                <w:sz w:val="24"/>
                <w:szCs w:val="24"/>
              </w:rPr>
            </w:pPr>
            <w:r>
              <w:rPr>
                <w:sz w:val="24"/>
                <w:szCs w:val="24"/>
              </w:rPr>
              <w:t>Direktion</w:t>
            </w:r>
          </w:p>
        </w:tc>
      </w:tr>
      <w:tr w:rsidR="00374EEB" w14:paraId="14C0C78C" w14:textId="77777777" w:rsidTr="001A504C">
        <w:trPr>
          <w:trHeight w:val="400"/>
        </w:trPr>
        <w:tc>
          <w:tcPr>
            <w:tcW w:w="3397" w:type="dxa"/>
            <w:tcBorders>
              <w:top w:val="single" w:sz="4" w:space="0" w:color="auto"/>
              <w:left w:val="single" w:sz="4" w:space="0" w:color="auto"/>
              <w:bottom w:val="single" w:sz="4" w:space="0" w:color="auto"/>
              <w:right w:val="single" w:sz="4" w:space="0" w:color="auto"/>
            </w:tcBorders>
            <w:shd w:val="clear" w:color="auto" w:fill="70AD47" w:themeFill="accent6"/>
          </w:tcPr>
          <w:p w14:paraId="6ED48704" w14:textId="77777777" w:rsidR="00374EEB" w:rsidRDefault="00374EEB">
            <w:pPr>
              <w:spacing w:line="276" w:lineRule="auto"/>
              <w:rPr>
                <w:sz w:val="24"/>
                <w:szCs w:val="24"/>
              </w:rPr>
            </w:pPr>
            <w:r>
              <w:rPr>
                <w:sz w:val="24"/>
                <w:szCs w:val="24"/>
              </w:rPr>
              <w:t>Information til</w:t>
            </w:r>
          </w:p>
        </w:tc>
        <w:tc>
          <w:tcPr>
            <w:tcW w:w="5676" w:type="dxa"/>
            <w:tcBorders>
              <w:top w:val="single" w:sz="4" w:space="0" w:color="auto"/>
              <w:left w:val="single" w:sz="4" w:space="0" w:color="auto"/>
              <w:bottom w:val="single" w:sz="4" w:space="0" w:color="auto"/>
              <w:right w:val="single" w:sz="4" w:space="0" w:color="auto"/>
            </w:tcBorders>
          </w:tcPr>
          <w:p w14:paraId="6A4C8615" w14:textId="77777777" w:rsidR="00374EEB" w:rsidRDefault="00456AF9">
            <w:pPr>
              <w:spacing w:line="276" w:lineRule="auto"/>
              <w:rPr>
                <w:sz w:val="24"/>
                <w:szCs w:val="24"/>
              </w:rPr>
            </w:pPr>
            <w:r>
              <w:rPr>
                <w:sz w:val="24"/>
                <w:szCs w:val="24"/>
              </w:rPr>
              <w:t>Alle</w:t>
            </w:r>
          </w:p>
        </w:tc>
      </w:tr>
      <w:tr w:rsidR="001A504C" w14:paraId="5B1B6581" w14:textId="77777777" w:rsidTr="001A504C">
        <w:trPr>
          <w:trHeight w:val="380"/>
        </w:trPr>
        <w:tc>
          <w:tcPr>
            <w:tcW w:w="3397"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42B3F943" w14:textId="77777777" w:rsidR="001A504C" w:rsidRDefault="001A504C">
            <w:pPr>
              <w:spacing w:line="276" w:lineRule="auto"/>
              <w:rPr>
                <w:sz w:val="24"/>
                <w:szCs w:val="24"/>
              </w:rPr>
            </w:pPr>
            <w:r>
              <w:rPr>
                <w:sz w:val="24"/>
                <w:szCs w:val="24"/>
              </w:rPr>
              <w:t>Antal sider</w:t>
            </w:r>
          </w:p>
        </w:tc>
        <w:tc>
          <w:tcPr>
            <w:tcW w:w="5676" w:type="dxa"/>
            <w:tcBorders>
              <w:top w:val="single" w:sz="4" w:space="0" w:color="auto"/>
              <w:left w:val="single" w:sz="4" w:space="0" w:color="auto"/>
              <w:bottom w:val="single" w:sz="4" w:space="0" w:color="auto"/>
              <w:right w:val="single" w:sz="4" w:space="0" w:color="auto"/>
            </w:tcBorders>
            <w:hideMark/>
          </w:tcPr>
          <w:p w14:paraId="0D6E4A0C" w14:textId="77777777" w:rsidR="001A504C" w:rsidRDefault="001A504C">
            <w:pPr>
              <w:spacing w:line="276" w:lineRule="auto"/>
              <w:rPr>
                <w:sz w:val="24"/>
                <w:szCs w:val="24"/>
              </w:rPr>
            </w:pPr>
            <w:r>
              <w:rPr>
                <w:sz w:val="24"/>
                <w:szCs w:val="24"/>
              </w:rPr>
              <w:t>[</w:t>
            </w:r>
            <w:r>
              <w:rPr>
                <w:sz w:val="24"/>
                <w:szCs w:val="24"/>
                <w:highlight w:val="lightGray"/>
              </w:rPr>
              <w:fldChar w:fldCharType="begin"/>
            </w:r>
            <w:r>
              <w:rPr>
                <w:sz w:val="24"/>
                <w:szCs w:val="24"/>
                <w:highlight w:val="lightGray"/>
              </w:rPr>
              <w:instrText xml:space="preserve"> NUMPAGES   \* MERGEFORMAT </w:instrText>
            </w:r>
            <w:r>
              <w:rPr>
                <w:sz w:val="24"/>
                <w:szCs w:val="24"/>
                <w:highlight w:val="lightGray"/>
              </w:rPr>
              <w:fldChar w:fldCharType="separate"/>
            </w:r>
            <w:r w:rsidR="00613F76">
              <w:rPr>
                <w:noProof/>
                <w:sz w:val="24"/>
                <w:szCs w:val="24"/>
                <w:highlight w:val="lightGray"/>
              </w:rPr>
              <w:t>3</w:t>
            </w:r>
            <w:r>
              <w:rPr>
                <w:sz w:val="24"/>
                <w:szCs w:val="24"/>
                <w:highlight w:val="lightGray"/>
              </w:rPr>
              <w:fldChar w:fldCharType="end"/>
            </w:r>
            <w:r>
              <w:rPr>
                <w:sz w:val="24"/>
                <w:szCs w:val="24"/>
              </w:rPr>
              <w:t>]</w:t>
            </w:r>
          </w:p>
        </w:tc>
      </w:tr>
    </w:tbl>
    <w:p w14:paraId="4511FA14" w14:textId="77777777" w:rsidR="007A0317" w:rsidRDefault="007A0317"/>
    <w:p w14:paraId="5DB3A08A" w14:textId="77777777" w:rsidR="007A0317" w:rsidRDefault="007A0317">
      <w:pPr>
        <w:spacing w:line="259" w:lineRule="auto"/>
        <w:ind w:left="0" w:firstLine="0"/>
        <w:jc w:val="left"/>
      </w:pPr>
      <w:r>
        <w:br w:type="page"/>
      </w:r>
    </w:p>
    <w:p w14:paraId="4F22AEB7" w14:textId="77777777" w:rsidR="00456AF9" w:rsidRDefault="00456AF9" w:rsidP="00456AF9">
      <w:pPr>
        <w:ind w:left="0" w:firstLine="0"/>
      </w:pPr>
      <w:r>
        <w:lastRenderedPageBreak/>
        <w:t>Investering har alle dage været forbundet med risiko. Investeringsrisiko kan komme mange steder fra. Ved bæredygtighedsrisiko forstår vi en miljømæssig, social eller ledelsesmæssig begivenhed eller omstændighed, som – hvis den opstår – kunne have faktisk eller potentiel væsentlig negativ virkning på værdien af en investering.</w:t>
      </w:r>
    </w:p>
    <w:p w14:paraId="0095817E" w14:textId="77777777" w:rsidR="00456AF9" w:rsidRDefault="00456AF9" w:rsidP="00456AF9">
      <w:pPr>
        <w:ind w:left="0" w:firstLine="0"/>
      </w:pPr>
      <w:r>
        <w:t>I Faster Andelskasse ønsker vi at hjælpe vores kunder med at investere ansvarligt. Det handler ikke kun om at få din investering til at vokse, men også om at få den til at vokse på den rigtige måde. Vi stiller derfor krav om ansvarlighed til vores samarbejdspartnere på investeringsområdet.</w:t>
      </w:r>
    </w:p>
    <w:p w14:paraId="02957E8B" w14:textId="77777777" w:rsidR="00456AF9" w:rsidRDefault="00456AF9" w:rsidP="00456AF9">
      <w:pPr>
        <w:ind w:left="0" w:firstLine="0"/>
      </w:pPr>
      <w:r>
        <w:t>Disse krav har vi beskrevet i denne politik, som bidrager til at sikre, at din formue investeres ansvarligt.</w:t>
      </w:r>
    </w:p>
    <w:p w14:paraId="3C243DB7" w14:textId="77777777" w:rsidR="001A504C" w:rsidRDefault="001A504C"/>
    <w:p w14:paraId="556062B1" w14:textId="77777777" w:rsidR="00456AF9" w:rsidRDefault="00456AF9">
      <w:pPr>
        <w:rPr>
          <w:b/>
          <w:bCs/>
        </w:rPr>
      </w:pPr>
      <w:r>
        <w:rPr>
          <w:b/>
          <w:bCs/>
        </w:rPr>
        <w:t>Udvælgelse af samarbejdspartner</w:t>
      </w:r>
    </w:p>
    <w:p w14:paraId="6DB6FD49" w14:textId="77777777" w:rsidR="00456AF9" w:rsidRDefault="00456AF9" w:rsidP="00456AF9">
      <w:pPr>
        <w:ind w:left="0" w:firstLine="0"/>
      </w:pPr>
      <w:r>
        <w:t>Faster Andelskasses samarbejdspartnere og produktleverandører på investeringsområdet udvælges blandt mange kriterier</w:t>
      </w:r>
      <w:r w:rsidR="00E75288">
        <w:t>, herunder et kriterie om, at vores kunders formuer kan investeres ansvarligt. I udvælgelsen af vores samarbejdspartnere på investeringsområdet lægger vi bl.a. vægt på, at samarbejdspartneren:</w:t>
      </w:r>
    </w:p>
    <w:p w14:paraId="201FC352" w14:textId="77777777" w:rsidR="00E75288" w:rsidRPr="001B0B69" w:rsidRDefault="00E75288" w:rsidP="00E75288">
      <w:pPr>
        <w:pStyle w:val="ListParagraph"/>
        <w:numPr>
          <w:ilvl w:val="0"/>
          <w:numId w:val="1"/>
        </w:numPr>
        <w:rPr>
          <w:i/>
          <w:iCs/>
        </w:rPr>
      </w:pPr>
      <w:r w:rsidRPr="001B0B69">
        <w:rPr>
          <w:i/>
          <w:iCs/>
        </w:rPr>
        <w:t>Integrerer miljømæssig, social og ledelsesmæssige forhold i investeringsanalyse- og beslutningsprocesser.</w:t>
      </w:r>
    </w:p>
    <w:p w14:paraId="7D94E68B" w14:textId="77777777" w:rsidR="001B0B69" w:rsidRDefault="001B0B69" w:rsidP="001B0B69">
      <w:pPr>
        <w:pStyle w:val="ListParagraph"/>
        <w:ind w:firstLine="0"/>
      </w:pPr>
      <w:r>
        <w:t>Her menes, at vores samarbejdspartnere, udover finansielle nøgletal, også baserer investeringsbeslutninger på en vurdering af virksomhedens ageren inden for miljømæssige, sociale og ledelsesmæssige forhold.</w:t>
      </w:r>
    </w:p>
    <w:p w14:paraId="545D66D2" w14:textId="77777777" w:rsidR="001B0B69" w:rsidRDefault="001B0B69" w:rsidP="001B0B69">
      <w:pPr>
        <w:pStyle w:val="ListParagraph"/>
        <w:ind w:firstLine="0"/>
      </w:pPr>
    </w:p>
    <w:p w14:paraId="1E3E57BD" w14:textId="77777777" w:rsidR="00E75288" w:rsidRPr="001B0B69" w:rsidRDefault="00E75288" w:rsidP="00E75288">
      <w:pPr>
        <w:pStyle w:val="ListParagraph"/>
        <w:numPr>
          <w:ilvl w:val="0"/>
          <w:numId w:val="1"/>
        </w:numPr>
        <w:rPr>
          <w:i/>
          <w:iCs/>
        </w:rPr>
      </w:pPr>
      <w:r w:rsidRPr="001B0B69">
        <w:rPr>
          <w:i/>
          <w:iCs/>
        </w:rPr>
        <w:t>Er aktiv ejer og indarbejder miljømæssige, sociale og ledelsesmæssige forhold i politikker vedrørende ejerskab og i den praktiske håndtering af investeringerne.</w:t>
      </w:r>
    </w:p>
    <w:p w14:paraId="58B8B225" w14:textId="77777777" w:rsidR="001B0B69" w:rsidRDefault="001B0B69" w:rsidP="001B0B69">
      <w:pPr>
        <w:pStyle w:val="ListParagraph"/>
        <w:ind w:firstLine="0"/>
      </w:pPr>
      <w:r>
        <w:t>Her menes, at vores samarbejdspartnere løbende overvåger selskaber for brud på konventioner eller normer og forsøger at påvirke disse selskaber til at ændre adfærd.</w:t>
      </w:r>
    </w:p>
    <w:p w14:paraId="40971008" w14:textId="77777777" w:rsidR="001B0B69" w:rsidRDefault="001B0B69" w:rsidP="001B0B69">
      <w:pPr>
        <w:pStyle w:val="ListParagraph"/>
        <w:ind w:firstLine="0"/>
      </w:pPr>
    </w:p>
    <w:p w14:paraId="7E4ECD88" w14:textId="77777777" w:rsidR="00E75288" w:rsidRPr="001B0B69" w:rsidRDefault="00E75288" w:rsidP="00E75288">
      <w:pPr>
        <w:pStyle w:val="ListParagraph"/>
        <w:numPr>
          <w:ilvl w:val="0"/>
          <w:numId w:val="1"/>
        </w:numPr>
        <w:rPr>
          <w:i/>
          <w:iCs/>
        </w:rPr>
      </w:pPr>
      <w:r w:rsidRPr="001B0B69">
        <w:rPr>
          <w:i/>
          <w:iCs/>
        </w:rPr>
        <w:t>Søger at opnå åbenhed om miljømæssige, sociale og ledelsesmæssige forhold fra de selskaber, der investeres i.</w:t>
      </w:r>
    </w:p>
    <w:p w14:paraId="302FD750" w14:textId="77777777" w:rsidR="001B0B69" w:rsidRDefault="001B0B69" w:rsidP="001B0B69">
      <w:pPr>
        <w:pStyle w:val="ListParagraph"/>
        <w:ind w:firstLine="0"/>
      </w:pPr>
      <w:r>
        <w:t>Her menes, at vores samarbejdspartnere aktivt tilskynder til transparens fra selskaber hvad angår ansvarlighed.</w:t>
      </w:r>
    </w:p>
    <w:p w14:paraId="3663EA1C" w14:textId="77777777" w:rsidR="00E75288" w:rsidRDefault="00E75288" w:rsidP="00E75288"/>
    <w:p w14:paraId="32190A0A" w14:textId="77777777" w:rsidR="00E75288" w:rsidRDefault="00E75288" w:rsidP="00E75288">
      <w:pPr>
        <w:rPr>
          <w:b/>
          <w:bCs/>
        </w:rPr>
      </w:pPr>
      <w:r>
        <w:rPr>
          <w:b/>
          <w:bCs/>
        </w:rPr>
        <w:t>Screening af investering</w:t>
      </w:r>
    </w:p>
    <w:p w14:paraId="05A3019F" w14:textId="77777777" w:rsidR="00E75288" w:rsidRDefault="00E75288" w:rsidP="00E75288">
      <w:pPr>
        <w:ind w:left="0" w:firstLine="0"/>
      </w:pPr>
      <w:r>
        <w:t>Vores samarbejdspartnere forventes, hvor det er relevant for deres investeringsprodukter, at identificere selskaber med potentielle bæredygtighedsrisici og eventuelle opstille investeringsrestriktioner over for bestemte industrier.</w:t>
      </w:r>
    </w:p>
    <w:p w14:paraId="5981D806" w14:textId="77777777" w:rsidR="00FB3BE3" w:rsidRDefault="00FB3BE3" w:rsidP="00E75288">
      <w:pPr>
        <w:ind w:left="0" w:firstLine="0"/>
      </w:pPr>
    </w:p>
    <w:p w14:paraId="65493EE9" w14:textId="77777777" w:rsidR="00FB3BE3" w:rsidRDefault="00FB3BE3" w:rsidP="00E75288">
      <w:pPr>
        <w:ind w:left="0" w:firstLine="0"/>
      </w:pPr>
      <w:r>
        <w:t>Faster Andelskasse henstiller alle vores samarbejdspartnere at gennemgå alle investeringer for brud på nedenstående internationale normer og konventioner:</w:t>
      </w:r>
    </w:p>
    <w:p w14:paraId="45FF5D97" w14:textId="77777777" w:rsidR="00FB3BE3" w:rsidRDefault="00FB3BE3" w:rsidP="00FB3BE3">
      <w:pPr>
        <w:pStyle w:val="ListParagraph"/>
        <w:numPr>
          <w:ilvl w:val="0"/>
          <w:numId w:val="1"/>
        </w:numPr>
      </w:pPr>
      <w:r>
        <w:t>FN’s Globale Compact</w:t>
      </w:r>
    </w:p>
    <w:p w14:paraId="70B647BD" w14:textId="77777777" w:rsidR="00FB3BE3" w:rsidRDefault="00FB3BE3" w:rsidP="00FB3BE3">
      <w:pPr>
        <w:pStyle w:val="ListParagraph"/>
        <w:numPr>
          <w:ilvl w:val="0"/>
          <w:numId w:val="1"/>
        </w:numPr>
      </w:pPr>
      <w:r>
        <w:t>FN’s menneskerettighedserklæring</w:t>
      </w:r>
    </w:p>
    <w:p w14:paraId="1BEB0E5B" w14:textId="77777777" w:rsidR="00FB3BE3" w:rsidRDefault="00FB3BE3" w:rsidP="00FB3BE3">
      <w:pPr>
        <w:pStyle w:val="ListParagraph"/>
        <w:numPr>
          <w:ilvl w:val="0"/>
          <w:numId w:val="1"/>
        </w:numPr>
      </w:pPr>
      <w:r>
        <w:t>OECD’s retningslinjer for multinationale selskaber</w:t>
      </w:r>
    </w:p>
    <w:p w14:paraId="239273BB" w14:textId="77777777" w:rsidR="00FB3BE3" w:rsidRDefault="00FB3BE3" w:rsidP="00FB3BE3">
      <w:pPr>
        <w:pStyle w:val="ListParagraph"/>
        <w:numPr>
          <w:ilvl w:val="0"/>
          <w:numId w:val="1"/>
        </w:numPr>
      </w:pPr>
      <w:r>
        <w:t xml:space="preserve">ILO arbejdsmarkedskonventioner om værdige forhold for arbejdstagere </w:t>
      </w:r>
    </w:p>
    <w:p w14:paraId="446E8907" w14:textId="77777777" w:rsidR="00FB3BE3" w:rsidRDefault="00FB3BE3" w:rsidP="00E75288">
      <w:pPr>
        <w:ind w:left="0" w:firstLine="0"/>
      </w:pPr>
    </w:p>
    <w:p w14:paraId="5F8B9EF1" w14:textId="77777777" w:rsidR="00E75288" w:rsidRDefault="00E75288" w:rsidP="00E75288">
      <w:pPr>
        <w:ind w:left="0" w:firstLine="0"/>
      </w:pPr>
      <w:r>
        <w:lastRenderedPageBreak/>
        <w:t>For investeringer, som har et bekræftet brud på én eller flere internationale normer eller konventioner, opfordrer vi til, at vores samarbejdspartnere enten:</w:t>
      </w:r>
    </w:p>
    <w:p w14:paraId="0A5D75BF" w14:textId="77777777" w:rsidR="00E75288" w:rsidRDefault="00E75288" w:rsidP="00E75288">
      <w:pPr>
        <w:pStyle w:val="ListParagraph"/>
        <w:numPr>
          <w:ilvl w:val="0"/>
          <w:numId w:val="1"/>
        </w:numPr>
      </w:pPr>
      <w:r>
        <w:t>Indleder dialog med selskabet med henblik på at få selskabet til at tage ansvar for bruddet og ændre adfærd eller</w:t>
      </w:r>
    </w:p>
    <w:p w14:paraId="3E7ACCF8" w14:textId="77777777" w:rsidR="00E75288" w:rsidRDefault="00E75288" w:rsidP="00E75288">
      <w:pPr>
        <w:pStyle w:val="ListParagraph"/>
        <w:numPr>
          <w:ilvl w:val="0"/>
          <w:numId w:val="1"/>
        </w:numPr>
      </w:pPr>
      <w:r>
        <w:t>Ekskluderer selskabet fra investeringsuniverset.</w:t>
      </w:r>
    </w:p>
    <w:p w14:paraId="081622DC" w14:textId="77777777" w:rsidR="00E75288" w:rsidRDefault="00E75288" w:rsidP="00E75288"/>
    <w:p w14:paraId="54440074" w14:textId="77777777" w:rsidR="00E75288" w:rsidRDefault="00E75288" w:rsidP="00E75288">
      <w:pPr>
        <w:ind w:left="0" w:firstLine="0"/>
      </w:pPr>
      <w:r>
        <w:t>Udover den normbaserede screening forventer vi, at vores samarbejdspartnere fortager en aktivitet baseret screening af selskaberne.</w:t>
      </w:r>
    </w:p>
    <w:p w14:paraId="4FD23443" w14:textId="77777777" w:rsidR="00E75288" w:rsidRDefault="00E75288" w:rsidP="00E75288">
      <w:pPr>
        <w:ind w:left="0" w:firstLine="0"/>
      </w:pPr>
      <w:r>
        <w:t>Konkret forventer vi, at samarbejdspartneren som minimum ekskluderer selskaber, der agerer inden for:</w:t>
      </w:r>
    </w:p>
    <w:p w14:paraId="4E2BCB2D" w14:textId="77777777" w:rsidR="00E75288" w:rsidRDefault="00E75288" w:rsidP="00E75288">
      <w:pPr>
        <w:pStyle w:val="ListParagraph"/>
        <w:numPr>
          <w:ilvl w:val="0"/>
          <w:numId w:val="1"/>
        </w:numPr>
      </w:pPr>
      <w:r>
        <w:t>Klyngevåben</w:t>
      </w:r>
    </w:p>
    <w:p w14:paraId="011E5937" w14:textId="77777777" w:rsidR="00E75288" w:rsidRDefault="00E75288" w:rsidP="00E75288">
      <w:pPr>
        <w:pStyle w:val="ListParagraph"/>
        <w:numPr>
          <w:ilvl w:val="0"/>
          <w:numId w:val="1"/>
        </w:numPr>
      </w:pPr>
      <w:r>
        <w:t>Landminer</w:t>
      </w:r>
    </w:p>
    <w:p w14:paraId="04513A9F" w14:textId="77777777" w:rsidR="00E75288" w:rsidRDefault="00E75288" w:rsidP="00E75288">
      <w:pPr>
        <w:pStyle w:val="ListParagraph"/>
        <w:numPr>
          <w:ilvl w:val="0"/>
          <w:numId w:val="1"/>
        </w:numPr>
      </w:pPr>
      <w:r>
        <w:t>Kemiske våben</w:t>
      </w:r>
    </w:p>
    <w:p w14:paraId="3B429C9C" w14:textId="77777777" w:rsidR="00E75288" w:rsidRDefault="00E75288" w:rsidP="00E75288">
      <w:pPr>
        <w:pStyle w:val="ListParagraph"/>
        <w:numPr>
          <w:ilvl w:val="0"/>
          <w:numId w:val="1"/>
        </w:numPr>
      </w:pPr>
      <w:r>
        <w:t>Biologiske våben</w:t>
      </w:r>
    </w:p>
    <w:p w14:paraId="057EF083" w14:textId="77777777" w:rsidR="00E75288" w:rsidRDefault="00E75288" w:rsidP="00E75288">
      <w:pPr>
        <w:pStyle w:val="ListParagraph"/>
        <w:numPr>
          <w:ilvl w:val="0"/>
          <w:numId w:val="1"/>
        </w:numPr>
      </w:pPr>
      <w:r>
        <w:t>Atomvåben, der ikke er omfattet af Traktaten om ikke-spredning af kernevåben.</w:t>
      </w:r>
    </w:p>
    <w:p w14:paraId="71DD9207" w14:textId="77777777" w:rsidR="002E5473" w:rsidRDefault="002E5473" w:rsidP="002E5473">
      <w:pPr>
        <w:ind w:left="0" w:firstLine="0"/>
      </w:pPr>
      <w:r>
        <w:t xml:space="preserve">Det forventes, at vores samarbejdspartnere offentliggør, hvilke selskaber de har ekskluderet og om grundene hertil. </w:t>
      </w:r>
    </w:p>
    <w:p w14:paraId="5C37F879" w14:textId="77777777" w:rsidR="002E5473" w:rsidRDefault="002E5473" w:rsidP="002E5473">
      <w:pPr>
        <w:ind w:left="0" w:firstLine="0"/>
      </w:pPr>
      <w:r>
        <w:t>Hvis samarbejdspartneren har yderligere aktivitetsbaseret screening inden for fx fossile brændstoffer forventes det, at samarbejdspartneren er transparent omkring dette.</w:t>
      </w:r>
    </w:p>
    <w:p w14:paraId="6A442361" w14:textId="77777777" w:rsidR="006C6F3B" w:rsidRDefault="006C6F3B" w:rsidP="006C6F3B"/>
    <w:p w14:paraId="530E2FE1" w14:textId="77777777" w:rsidR="006C6F3B" w:rsidRDefault="006C6F3B" w:rsidP="006C6F3B">
      <w:pPr>
        <w:rPr>
          <w:i/>
          <w:iCs/>
        </w:rPr>
      </w:pPr>
      <w:r>
        <w:rPr>
          <w:i/>
          <w:iCs/>
        </w:rPr>
        <w:t>Statsobligationer</w:t>
      </w:r>
    </w:p>
    <w:p w14:paraId="624FBD4D" w14:textId="77777777" w:rsidR="006C6F3B" w:rsidRPr="006C6F3B" w:rsidRDefault="006C6F3B" w:rsidP="006C6F3B">
      <w:pPr>
        <w:ind w:left="0" w:firstLine="0"/>
      </w:pPr>
      <w:r>
        <w:t>Det forventes, at vores samarbejdspartnere tager stilling til investering i statsobligationer, herunder særligt investering i obligationer udstedt af emerging markets-lande, da disse lande kan have særlige risici for overtrædelse af f.eks. menneskerettigheder eller korruption.</w:t>
      </w:r>
    </w:p>
    <w:p w14:paraId="281E28C3" w14:textId="77777777" w:rsidR="00E75288" w:rsidRDefault="00E75288" w:rsidP="00E75288"/>
    <w:p w14:paraId="280E88FF" w14:textId="77777777" w:rsidR="00E75288" w:rsidRDefault="00E75288" w:rsidP="00E75288">
      <w:pPr>
        <w:rPr>
          <w:b/>
          <w:bCs/>
        </w:rPr>
      </w:pPr>
      <w:r w:rsidRPr="00E75288">
        <w:rPr>
          <w:b/>
          <w:bCs/>
        </w:rPr>
        <w:t>Aktivt ejerskab</w:t>
      </w:r>
    </w:p>
    <w:p w14:paraId="50AA7567" w14:textId="77777777" w:rsidR="00E75288" w:rsidRDefault="00043CB9" w:rsidP="00E75288">
      <w:pPr>
        <w:ind w:left="0" w:firstLine="0"/>
      </w:pPr>
      <w:r>
        <w:t>Med det formål at understøtte selskabernes udvikling og langsigtede værdiskabelse forventer vi, at vores samarbejdspartnere på investeringsområdet, fx ved udøvelse af stemmerettigheder eller dialog, påvirker miljømæssige, sociale og ledelsesmæssige forhold, hvor det er relevant i de selskaber, der investeres i.</w:t>
      </w:r>
    </w:p>
    <w:p w14:paraId="3666D74C" w14:textId="77777777" w:rsidR="00043CB9" w:rsidRDefault="00043CB9" w:rsidP="00E75288">
      <w:pPr>
        <w:ind w:left="0" w:firstLine="0"/>
      </w:pPr>
    </w:p>
    <w:p w14:paraId="225E4126" w14:textId="77777777" w:rsidR="00043CB9" w:rsidRDefault="00043CB9" w:rsidP="00E75288">
      <w:pPr>
        <w:ind w:left="0" w:firstLine="0"/>
        <w:rPr>
          <w:b/>
          <w:bCs/>
        </w:rPr>
      </w:pPr>
      <w:r>
        <w:rPr>
          <w:b/>
          <w:bCs/>
        </w:rPr>
        <w:t>Når vi yder investeringsrådgivning</w:t>
      </w:r>
    </w:p>
    <w:p w14:paraId="14F60DAC" w14:textId="5F17AB69" w:rsidR="00043CB9" w:rsidRDefault="005D6F28" w:rsidP="005D6F28">
      <w:pPr>
        <w:ind w:left="0" w:firstLine="0"/>
      </w:pPr>
      <w:r>
        <w:t>Når vi udøver investeringsrådgivning til vores kunder, tager vi alene hensyn til de finansielle produkters vigtigste negative bæredygtighedsvirkninger ved at bruge produkter fra samarbejdspartnere, der tager hensyn. Dette valg er truffet som følge af Faster Andelskasses størrelse og revurderes løbende.</w:t>
      </w:r>
    </w:p>
    <w:p w14:paraId="3E77422C" w14:textId="77777777" w:rsidR="00043CB9" w:rsidRPr="00043CB9" w:rsidRDefault="00043CB9" w:rsidP="00E75288">
      <w:pPr>
        <w:ind w:left="0" w:firstLine="0"/>
      </w:pPr>
    </w:p>
    <w:sectPr w:rsidR="00043CB9" w:rsidRPr="00043CB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5BFED" w14:textId="77777777" w:rsidR="00456AF9" w:rsidRDefault="00456AF9" w:rsidP="001A504C">
      <w:pPr>
        <w:spacing w:after="0"/>
      </w:pPr>
      <w:r>
        <w:separator/>
      </w:r>
    </w:p>
  </w:endnote>
  <w:endnote w:type="continuationSeparator" w:id="0">
    <w:p w14:paraId="221B8BE9" w14:textId="77777777" w:rsidR="00456AF9" w:rsidRDefault="00456AF9" w:rsidP="001A5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73846"/>
      <w:docPartObj>
        <w:docPartGallery w:val="Page Numbers (Bottom of Page)"/>
        <w:docPartUnique/>
      </w:docPartObj>
    </w:sdtPr>
    <w:sdtEndPr/>
    <w:sdtContent>
      <w:sdt>
        <w:sdtPr>
          <w:id w:val="-1769616900"/>
          <w:docPartObj>
            <w:docPartGallery w:val="Page Numbers (Top of Page)"/>
            <w:docPartUnique/>
          </w:docPartObj>
        </w:sdtPr>
        <w:sdtEndPr/>
        <w:sdtContent>
          <w:p w14:paraId="7A0845D6" w14:textId="77777777" w:rsidR="001A504C" w:rsidRDefault="001A504C">
            <w:pPr>
              <w:pStyle w:val="Footer"/>
              <w:jc w:val="right"/>
            </w:pPr>
            <w:r>
              <w:t xml:space="preserve">Side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af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6C184E" w14:textId="77777777" w:rsidR="001A504C" w:rsidRDefault="001A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25ECA" w14:textId="77777777" w:rsidR="00456AF9" w:rsidRDefault="00456AF9" w:rsidP="001A504C">
      <w:pPr>
        <w:spacing w:after="0"/>
      </w:pPr>
      <w:r>
        <w:separator/>
      </w:r>
    </w:p>
  </w:footnote>
  <w:footnote w:type="continuationSeparator" w:id="0">
    <w:p w14:paraId="54970391" w14:textId="77777777" w:rsidR="00456AF9" w:rsidRDefault="00456AF9" w:rsidP="001A50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67935" w14:textId="77777777" w:rsidR="001A504C" w:rsidRDefault="00456AF9" w:rsidP="001A504C">
    <w:pPr>
      <w:pStyle w:val="Header"/>
      <w:keepNext/>
      <w:pBdr>
        <w:bottom w:val="single" w:sz="12" w:space="1" w:color="auto"/>
      </w:pBdr>
      <w:jc w:val="right"/>
    </w:pPr>
    <w:r>
      <w:t>Politik for integration af bæredygtighedsrisici</w:t>
    </w:r>
  </w:p>
  <w:p w14:paraId="1084CF88" w14:textId="77777777" w:rsidR="001A504C" w:rsidRDefault="001A504C" w:rsidP="001A504C">
    <w:pPr>
      <w:pStyle w:val="Header"/>
      <w:keepNext/>
    </w:pPr>
  </w:p>
  <w:p w14:paraId="521A4FC0" w14:textId="77777777" w:rsidR="001A504C" w:rsidRDefault="001A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D7E1F"/>
    <w:multiLevelType w:val="hybridMultilevel"/>
    <w:tmpl w:val="F9E2E7C6"/>
    <w:lvl w:ilvl="0" w:tplc="DFF0B3C4">
      <w:start w:val="1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F9"/>
    <w:rsid w:val="00043CB9"/>
    <w:rsid w:val="001A504C"/>
    <w:rsid w:val="001B0B69"/>
    <w:rsid w:val="00241296"/>
    <w:rsid w:val="002E5473"/>
    <w:rsid w:val="00374EEB"/>
    <w:rsid w:val="00456AF9"/>
    <w:rsid w:val="005D6F28"/>
    <w:rsid w:val="00613F76"/>
    <w:rsid w:val="006C6F3B"/>
    <w:rsid w:val="007A0317"/>
    <w:rsid w:val="008F536E"/>
    <w:rsid w:val="00E75288"/>
    <w:rsid w:val="00F47F90"/>
    <w:rsid w:val="00FB3B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0E13"/>
  <w15:chartTrackingRefBased/>
  <w15:docId w15:val="{E362C401-5C6A-4B13-A932-DF632A00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04C"/>
    <w:pPr>
      <w:spacing w:line="240" w:lineRule="auto"/>
      <w:ind w:left="1134" w:hanging="113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04C"/>
    <w:pPr>
      <w:tabs>
        <w:tab w:val="center" w:pos="4819"/>
        <w:tab w:val="right" w:pos="9638"/>
      </w:tabs>
      <w:spacing w:after="0"/>
      <w:ind w:left="0" w:firstLine="0"/>
      <w:jc w:val="left"/>
    </w:pPr>
  </w:style>
  <w:style w:type="character" w:customStyle="1" w:styleId="HeaderChar">
    <w:name w:val="Header Char"/>
    <w:basedOn w:val="DefaultParagraphFont"/>
    <w:link w:val="Header"/>
    <w:uiPriority w:val="99"/>
    <w:rsid w:val="001A504C"/>
  </w:style>
  <w:style w:type="paragraph" w:styleId="Footer">
    <w:name w:val="footer"/>
    <w:basedOn w:val="Normal"/>
    <w:link w:val="FooterChar"/>
    <w:uiPriority w:val="99"/>
    <w:unhideWhenUsed/>
    <w:rsid w:val="001A504C"/>
    <w:pPr>
      <w:tabs>
        <w:tab w:val="center" w:pos="4819"/>
        <w:tab w:val="right" w:pos="9638"/>
      </w:tabs>
      <w:spacing w:after="0"/>
      <w:ind w:left="0" w:firstLine="0"/>
      <w:jc w:val="left"/>
    </w:pPr>
  </w:style>
  <w:style w:type="character" w:customStyle="1" w:styleId="FooterChar">
    <w:name w:val="Footer Char"/>
    <w:basedOn w:val="DefaultParagraphFont"/>
    <w:link w:val="Footer"/>
    <w:uiPriority w:val="99"/>
    <w:rsid w:val="001A504C"/>
  </w:style>
  <w:style w:type="paragraph" w:styleId="CommentText">
    <w:name w:val="annotation text"/>
    <w:basedOn w:val="Normal"/>
    <w:link w:val="CommentTextChar"/>
    <w:uiPriority w:val="99"/>
    <w:semiHidden/>
    <w:unhideWhenUsed/>
    <w:rsid w:val="001A504C"/>
    <w:rPr>
      <w:sz w:val="20"/>
      <w:szCs w:val="20"/>
    </w:rPr>
  </w:style>
  <w:style w:type="character" w:customStyle="1" w:styleId="CommentTextChar">
    <w:name w:val="Comment Text Char"/>
    <w:basedOn w:val="DefaultParagraphFont"/>
    <w:link w:val="CommentText"/>
    <w:uiPriority w:val="99"/>
    <w:semiHidden/>
    <w:rsid w:val="001A504C"/>
    <w:rPr>
      <w:sz w:val="20"/>
      <w:szCs w:val="20"/>
    </w:rPr>
  </w:style>
  <w:style w:type="character" w:styleId="CommentReference">
    <w:name w:val="annotation reference"/>
    <w:basedOn w:val="DefaultParagraphFont"/>
    <w:uiPriority w:val="99"/>
    <w:semiHidden/>
    <w:unhideWhenUsed/>
    <w:rsid w:val="001A504C"/>
    <w:rPr>
      <w:sz w:val="16"/>
      <w:szCs w:val="16"/>
    </w:rPr>
  </w:style>
  <w:style w:type="paragraph" w:styleId="BalloonText">
    <w:name w:val="Balloon Text"/>
    <w:basedOn w:val="Normal"/>
    <w:link w:val="BalloonTextChar"/>
    <w:uiPriority w:val="99"/>
    <w:semiHidden/>
    <w:unhideWhenUsed/>
    <w:rsid w:val="001A50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4C"/>
    <w:rPr>
      <w:rFonts w:ascii="Segoe UI" w:hAnsi="Segoe UI" w:cs="Segoe UI"/>
      <w:sz w:val="18"/>
      <w:szCs w:val="18"/>
    </w:rPr>
  </w:style>
  <w:style w:type="table" w:styleId="TableGrid">
    <w:name w:val="Table Grid"/>
    <w:basedOn w:val="TableNormal"/>
    <w:uiPriority w:val="39"/>
    <w:rsid w:val="001A504C"/>
    <w:pPr>
      <w:spacing w:after="0" w:line="240" w:lineRule="auto"/>
      <w:ind w:left="1134" w:hanging="1134"/>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70427">
      <w:bodyDiv w:val="1"/>
      <w:marLeft w:val="0"/>
      <w:marRight w:val="0"/>
      <w:marTop w:val="0"/>
      <w:marBottom w:val="0"/>
      <w:divBdr>
        <w:top w:val="none" w:sz="0" w:space="0" w:color="auto"/>
        <w:left w:val="none" w:sz="0" w:space="0" w:color="auto"/>
        <w:bottom w:val="none" w:sz="0" w:space="0" w:color="auto"/>
        <w:right w:val="none" w:sz="0" w:space="0" w:color="auto"/>
      </w:divBdr>
    </w:div>
    <w:div w:id="1987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660</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Toftegaard</dc:creator>
  <cp:keywords/>
  <dc:description/>
  <cp:lastModifiedBy>Kevin Ehmsen</cp:lastModifiedBy>
  <cp:revision>3</cp:revision>
  <cp:lastPrinted>2020-11-02T07:55:00Z</cp:lastPrinted>
  <dcterms:created xsi:type="dcterms:W3CDTF">2021-02-18T09:56:00Z</dcterms:created>
  <dcterms:modified xsi:type="dcterms:W3CDTF">2021-03-03T14:24:00Z</dcterms:modified>
</cp:coreProperties>
</file>